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553" w:rsidRPr="00871ADA" w:rsidRDefault="00605553" w:rsidP="0060555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1ADA">
        <w:rPr>
          <w:rFonts w:ascii="Times New Roman" w:hAnsi="Times New Roman" w:cs="Times New Roman"/>
          <w:b/>
          <w:sz w:val="24"/>
          <w:szCs w:val="24"/>
          <w:u w:val="single"/>
        </w:rPr>
        <w:t>PROPOSITION D’UN CANEVAS DE CORRECTION</w:t>
      </w:r>
    </w:p>
    <w:p w:rsidR="00605553" w:rsidRPr="00871ADA" w:rsidRDefault="00605553" w:rsidP="006055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b/>
          <w:sz w:val="24"/>
          <w:szCs w:val="24"/>
          <w:u w:val="single"/>
        </w:rPr>
        <w:t>Sujet I </w:t>
      </w:r>
      <w:r w:rsidRPr="00871ADA">
        <w:rPr>
          <w:rFonts w:ascii="Times New Roman" w:hAnsi="Times New Roman" w:cs="Times New Roman"/>
          <w:sz w:val="24"/>
          <w:szCs w:val="24"/>
        </w:rPr>
        <w:t xml:space="preserve">: La conscience est-elle transparence à soi ? </w:t>
      </w:r>
      <w:bookmarkStart w:id="0" w:name="_GoBack"/>
      <w:bookmarkEnd w:id="0"/>
    </w:p>
    <w:p w:rsidR="00605553" w:rsidRDefault="00605553" w:rsidP="00605553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ANALYSE  ET COMPREHENSION DU SUJET</w:t>
      </w:r>
    </w:p>
    <w:p w:rsidR="00605553" w:rsidRPr="00871ADA" w:rsidRDefault="00605553" w:rsidP="006055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conscience est-elle lucidité, souveraineté ?</w:t>
      </w:r>
    </w:p>
    <w:p w:rsidR="00605553" w:rsidRPr="00871ADA" w:rsidRDefault="00605553" w:rsidP="00605553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PROBLEMATISATION</w:t>
      </w:r>
    </w:p>
    <w:p w:rsidR="00605553" w:rsidRPr="00871ADA" w:rsidRDefault="00605553" w:rsidP="00605553">
      <w:pPr>
        <w:pStyle w:val="Paragraphedeliste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Problème philosophique : la nature du Moi ; la nature du psychisme ; la souveraineté de la conscience.</w:t>
      </w:r>
    </w:p>
    <w:p w:rsidR="00605553" w:rsidRPr="00871ADA" w:rsidRDefault="00605553" w:rsidP="00605553">
      <w:pPr>
        <w:pStyle w:val="Paragraphedeliste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Problématique : si la conscience est totalement transparence à soi, comment justifier les faits psychiques qui échappent à son contrôle ?</w:t>
      </w:r>
    </w:p>
    <w:p w:rsidR="00605553" w:rsidRPr="00871ADA" w:rsidRDefault="00605553" w:rsidP="00605553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553" w:rsidRPr="00871ADA" w:rsidRDefault="00605553" w:rsidP="00605553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PLAN POSSIBLE</w:t>
      </w:r>
    </w:p>
    <w:p w:rsidR="00605553" w:rsidRPr="00871ADA" w:rsidRDefault="00605553" w:rsidP="00605553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Thèse : la souveraineté de la conscience.</w:t>
      </w:r>
    </w:p>
    <w:p w:rsidR="00605553" w:rsidRPr="00871ADA" w:rsidRDefault="00605553" w:rsidP="00605553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conscience comme substance pensante</w:t>
      </w:r>
    </w:p>
    <w:p w:rsidR="00605553" w:rsidRPr="00871ADA" w:rsidRDefault="00605553" w:rsidP="00605553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conscience phénoménologique</w:t>
      </w:r>
    </w:p>
    <w:p w:rsidR="00605553" w:rsidRPr="00871ADA" w:rsidRDefault="00605553" w:rsidP="00605553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conscience psychologique</w:t>
      </w:r>
    </w:p>
    <w:p w:rsidR="00605553" w:rsidRPr="00871ADA" w:rsidRDefault="00605553" w:rsidP="00605553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conscience morale</w:t>
      </w:r>
    </w:p>
    <w:p w:rsidR="00605553" w:rsidRPr="00871ADA" w:rsidRDefault="00605553" w:rsidP="00605553">
      <w:pPr>
        <w:pStyle w:val="Paragraphedelist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conscience sélective et synthétique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Cf. : Descartes ; Alain ; Sartre ; Bergson ; Jouffroy ; etc.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05553" w:rsidRPr="00871ADA" w:rsidRDefault="00605553" w:rsidP="00605553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Antithèse : les limites de la conscience et de l’existence de l’inconscient.</w:t>
      </w:r>
    </w:p>
    <w:p w:rsidR="00605553" w:rsidRPr="00871ADA" w:rsidRDefault="00605553" w:rsidP="00605553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thèses des rationalistes modérés sur les petites perceptions inconscientes, le défaut d’attention, la fatigue, la perte de vigilance.</w:t>
      </w:r>
    </w:p>
    <w:p w:rsidR="00605553" w:rsidRPr="00871ADA" w:rsidRDefault="00605553" w:rsidP="00605553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actes manqués</w:t>
      </w:r>
    </w:p>
    <w:p w:rsidR="00605553" w:rsidRPr="00871ADA" w:rsidRDefault="00605553" w:rsidP="00605553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thèse de Freud sur la découverte de l’inconscient</w:t>
      </w:r>
    </w:p>
    <w:p w:rsidR="00605553" w:rsidRPr="00871ADA" w:rsidRDefault="00605553" w:rsidP="00605553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manifestations de l’inconscient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 xml:space="preserve">Cf. : Freud ; Leibniz ; </w:t>
      </w:r>
      <w:proofErr w:type="spellStart"/>
      <w:r w:rsidRPr="00871ADA">
        <w:rPr>
          <w:rFonts w:ascii="Times New Roman" w:hAnsi="Times New Roman" w:cs="Times New Roman"/>
          <w:sz w:val="24"/>
          <w:szCs w:val="24"/>
        </w:rPr>
        <w:t>Ebacher</w:t>
      </w:r>
      <w:proofErr w:type="spellEnd"/>
      <w:r w:rsidRPr="00871ADA">
        <w:rPr>
          <w:rFonts w:ascii="Times New Roman" w:hAnsi="Times New Roman" w:cs="Times New Roman"/>
          <w:sz w:val="24"/>
          <w:szCs w:val="24"/>
        </w:rPr>
        <w:t> ; Lacan ; etc.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05553" w:rsidRPr="00871ADA" w:rsidRDefault="00605553" w:rsidP="00605553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Synthèse : la double nature du Moi.</w:t>
      </w:r>
    </w:p>
    <w:p w:rsidR="00605553" w:rsidRPr="00871ADA" w:rsidRDefault="00605553" w:rsidP="006055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 xml:space="preserve">Le Moi </w:t>
      </w:r>
      <w:proofErr w:type="gramStart"/>
      <w:r w:rsidRPr="00871ADA">
        <w:rPr>
          <w:rFonts w:ascii="Times New Roman" w:hAnsi="Times New Roman" w:cs="Times New Roman"/>
          <w:sz w:val="24"/>
          <w:szCs w:val="24"/>
        </w:rPr>
        <w:t>est</w:t>
      </w:r>
      <w:proofErr w:type="gramEnd"/>
      <w:r w:rsidRPr="00871ADA">
        <w:rPr>
          <w:rFonts w:ascii="Times New Roman" w:hAnsi="Times New Roman" w:cs="Times New Roman"/>
          <w:sz w:val="24"/>
          <w:szCs w:val="24"/>
        </w:rPr>
        <w:t xml:space="preserve"> à la fois conscience et inconscient. La conscience domine cependant dans le psychisme car c’est elle qui prend conscience de ses propres limites.</w:t>
      </w:r>
    </w:p>
    <w:p w:rsidR="00605553" w:rsidRPr="00871ADA" w:rsidRDefault="00605553" w:rsidP="006055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Sujet II</w:t>
      </w:r>
      <w:r w:rsidRPr="0053086E">
        <w:rPr>
          <w:rFonts w:ascii="Times New Roman" w:hAnsi="Times New Roman" w:cs="Times New Roman"/>
          <w:b/>
          <w:sz w:val="24"/>
          <w:szCs w:val="24"/>
        </w:rPr>
        <w:t xml:space="preserve"> : </w:t>
      </w:r>
      <w:proofErr w:type="spellStart"/>
      <w:r w:rsidRPr="00871ADA">
        <w:rPr>
          <w:rFonts w:ascii="Times New Roman" w:hAnsi="Times New Roman" w:cs="Times New Roman"/>
          <w:b/>
          <w:sz w:val="24"/>
          <w:szCs w:val="24"/>
        </w:rPr>
        <w:t>Eric</w:t>
      </w:r>
      <w:proofErr w:type="spellEnd"/>
      <w:r w:rsidRPr="00871ADA">
        <w:rPr>
          <w:rFonts w:ascii="Times New Roman" w:hAnsi="Times New Roman" w:cs="Times New Roman"/>
          <w:b/>
          <w:sz w:val="24"/>
          <w:szCs w:val="24"/>
        </w:rPr>
        <w:t xml:space="preserve"> WEIL</w:t>
      </w:r>
      <w:r w:rsidRPr="00871ADA">
        <w:rPr>
          <w:rFonts w:ascii="Times New Roman" w:hAnsi="Times New Roman" w:cs="Times New Roman"/>
          <w:sz w:val="24"/>
          <w:szCs w:val="24"/>
        </w:rPr>
        <w:t xml:space="preserve"> a-t-il raison d’affirmer qu’ « </w:t>
      </w:r>
      <w:r w:rsidRPr="00871ADA">
        <w:rPr>
          <w:rFonts w:ascii="Times New Roman" w:hAnsi="Times New Roman" w:cs="Times New Roman"/>
          <w:b/>
          <w:sz w:val="24"/>
          <w:szCs w:val="24"/>
        </w:rPr>
        <w:t>il n’y a pas de justification philosophique de la violence</w:t>
      </w:r>
      <w:r w:rsidRPr="00871ADA">
        <w:rPr>
          <w:rFonts w:ascii="Times New Roman" w:hAnsi="Times New Roman" w:cs="Times New Roman"/>
          <w:sz w:val="24"/>
          <w:szCs w:val="24"/>
        </w:rPr>
        <w:t> » ?</w:t>
      </w:r>
    </w:p>
    <w:p w:rsidR="00605553" w:rsidRPr="00871ADA" w:rsidRDefault="00605553" w:rsidP="0060555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ANALYSE ET COMPREHENSION DU SUJET</w:t>
      </w:r>
    </w:p>
    <w:p w:rsidR="00605553" w:rsidRPr="00871ADA" w:rsidRDefault="00605553" w:rsidP="006055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 xml:space="preserve">Selon </w:t>
      </w:r>
      <w:proofErr w:type="spellStart"/>
      <w:r w:rsidRPr="00871ADA">
        <w:rPr>
          <w:rFonts w:ascii="Times New Roman" w:hAnsi="Times New Roman" w:cs="Times New Roman"/>
          <w:sz w:val="24"/>
          <w:szCs w:val="24"/>
        </w:rPr>
        <w:t>Eric</w:t>
      </w:r>
      <w:proofErr w:type="spellEnd"/>
      <w:r w:rsidRPr="00871ADA">
        <w:rPr>
          <w:rFonts w:ascii="Times New Roman" w:hAnsi="Times New Roman" w:cs="Times New Roman"/>
          <w:sz w:val="24"/>
          <w:szCs w:val="24"/>
        </w:rPr>
        <w:t xml:space="preserve"> Weil, il n’existe pas d’argument philosophique en faveur de la violence. La violence est philosophiquement condamnée.</w:t>
      </w:r>
    </w:p>
    <w:p w:rsidR="00605553" w:rsidRPr="00871ADA" w:rsidRDefault="00605553" w:rsidP="0060555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PROBLEMATISATION</w:t>
      </w:r>
    </w:p>
    <w:p w:rsidR="00605553" w:rsidRPr="00871ADA" w:rsidRDefault="00605553" w:rsidP="00605553">
      <w:pPr>
        <w:pStyle w:val="Paragraphedeliste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Problème philosophique : la valeur de la violence ; la légitimité de la violence</w:t>
      </w:r>
    </w:p>
    <w:p w:rsidR="00605553" w:rsidRPr="00871ADA" w:rsidRDefault="00605553" w:rsidP="00605553">
      <w:pPr>
        <w:pStyle w:val="Paragraphedeliste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Problématique : étant donné que le recours permet de restaurer l’ordre, ne peut-on pas dès lors trouver des raisons philosophiques à la violence ?</w:t>
      </w:r>
    </w:p>
    <w:p w:rsidR="00605553" w:rsidRPr="00871ADA" w:rsidRDefault="00605553" w:rsidP="00605553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553" w:rsidRPr="00871ADA" w:rsidRDefault="00605553" w:rsidP="00605553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PLAN POSSIBLE</w:t>
      </w:r>
    </w:p>
    <w:p w:rsidR="00605553" w:rsidRPr="00871ADA" w:rsidRDefault="00605553" w:rsidP="00605553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Thèse : explication de la thèse de Weil selon laquelle la violence est philosophiquement condamnable.</w:t>
      </w:r>
    </w:p>
    <w:p w:rsidR="00605553" w:rsidRPr="00871ADA" w:rsidRDefault="00605553" w:rsidP="00605553">
      <w:pPr>
        <w:pStyle w:val="Paragraphedeliste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thèses de rationalistes pour lesquels la violence porte atteinte à l’essence de l’homme en niant la raison.</w:t>
      </w:r>
    </w:p>
    <w:p w:rsidR="00605553" w:rsidRPr="00871ADA" w:rsidRDefault="00605553" w:rsidP="00605553">
      <w:pPr>
        <w:pStyle w:val="Paragraphedeliste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thèses des moralistes selon lesquelles la violence remet en cause la dignité de l’homme.</w:t>
      </w:r>
    </w:p>
    <w:p w:rsidR="00605553" w:rsidRPr="00871ADA" w:rsidRDefault="00605553" w:rsidP="00605553">
      <w:pPr>
        <w:pStyle w:val="Paragraphedeliste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thèses sociologiques qui démontrent que la violence est destructrice et déstabilisatrice des sociétés humaines.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Cf. : Kant ; Gandhi ; Arendt ; Sartre ; etc.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05553" w:rsidRPr="00871ADA" w:rsidRDefault="00605553" w:rsidP="00605553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Antithèse : limite de la thèse de Weil : les apports de la violence.</w:t>
      </w:r>
    </w:p>
    <w:p w:rsidR="00605553" w:rsidRPr="00871ADA" w:rsidRDefault="00605553" w:rsidP="00605553">
      <w:pPr>
        <w:pStyle w:val="Paragraphedeliste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 xml:space="preserve">Les </w:t>
      </w:r>
      <w:proofErr w:type="spellStart"/>
      <w:r w:rsidRPr="00871ADA">
        <w:rPr>
          <w:rFonts w:ascii="Times New Roman" w:hAnsi="Times New Roman" w:cs="Times New Roman"/>
          <w:sz w:val="24"/>
          <w:szCs w:val="24"/>
        </w:rPr>
        <w:t>thèseshistoricistes</w:t>
      </w:r>
      <w:proofErr w:type="spellEnd"/>
      <w:r w:rsidRPr="00871ADA">
        <w:rPr>
          <w:rFonts w:ascii="Times New Roman" w:hAnsi="Times New Roman" w:cs="Times New Roman"/>
          <w:sz w:val="24"/>
          <w:szCs w:val="24"/>
        </w:rPr>
        <w:t xml:space="preserve"> d’après lesquelles la violence est vectrice de progrès.</w:t>
      </w:r>
    </w:p>
    <w:p w:rsidR="00605553" w:rsidRPr="00871ADA" w:rsidRDefault="00605553" w:rsidP="00605553">
      <w:pPr>
        <w:pStyle w:val="Paragraphedeliste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thèses politiques pour lesquelles la violence est restauratrice de la paix et de l’ordre.</w:t>
      </w:r>
    </w:p>
    <w:p w:rsidR="00605553" w:rsidRPr="00871ADA" w:rsidRDefault="00605553" w:rsidP="00605553">
      <w:pPr>
        <w:pStyle w:val="Paragraphedeliste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Les thèses sociologiques selon lesquelles la violence est éducatrice.</w:t>
      </w:r>
    </w:p>
    <w:p w:rsidR="00605553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Cf. : Héraclite ; Nietzsche ; Hegel ; Aron ; etc.</w:t>
      </w:r>
    </w:p>
    <w:p w:rsidR="00605553" w:rsidRPr="00871ADA" w:rsidRDefault="00605553" w:rsidP="00605553">
      <w:pPr>
        <w:pStyle w:val="Paragraphedeliste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05553" w:rsidRPr="00871ADA" w:rsidRDefault="00605553" w:rsidP="00605553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Synthèse : la condamnation absolue et la prévention de la violence.</w:t>
      </w:r>
    </w:p>
    <w:p w:rsidR="00605553" w:rsidRPr="00871ADA" w:rsidRDefault="00605553" w:rsidP="006055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ADA">
        <w:rPr>
          <w:rFonts w:ascii="Times New Roman" w:hAnsi="Times New Roman" w:cs="Times New Roman"/>
          <w:sz w:val="24"/>
          <w:szCs w:val="24"/>
        </w:rPr>
        <w:t>La valorisation de la violence ne peut être tolérée que si celle-ci est circonstancielle et circonscrite. Ce qui revient à dire que la valorisation absolue de la violence est injustifiée et injustifiable car la violence chosifie l’homme. Il faut donc la combattre en la prévenant.</w:t>
      </w:r>
    </w:p>
    <w:p w:rsidR="00B84B76" w:rsidRDefault="00B84B76"/>
    <w:sectPr w:rsidR="00B84B76" w:rsidSect="00D96A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E3434"/>
    <w:multiLevelType w:val="hybridMultilevel"/>
    <w:tmpl w:val="BC0C92A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5A4132"/>
    <w:multiLevelType w:val="hybridMultilevel"/>
    <w:tmpl w:val="1226B33E"/>
    <w:lvl w:ilvl="0" w:tplc="DF8C82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D4BF2"/>
    <w:multiLevelType w:val="hybridMultilevel"/>
    <w:tmpl w:val="935EED44"/>
    <w:lvl w:ilvl="0" w:tplc="D4F426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A02F5"/>
    <w:multiLevelType w:val="hybridMultilevel"/>
    <w:tmpl w:val="46C6758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B07C04"/>
    <w:multiLevelType w:val="hybridMultilevel"/>
    <w:tmpl w:val="FA52DF52"/>
    <w:lvl w:ilvl="0" w:tplc="1E12E5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83DE2"/>
    <w:multiLevelType w:val="hybridMultilevel"/>
    <w:tmpl w:val="9BB8859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34549B6"/>
    <w:multiLevelType w:val="hybridMultilevel"/>
    <w:tmpl w:val="458CA2B8"/>
    <w:lvl w:ilvl="0" w:tplc="D928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35E8E"/>
    <w:multiLevelType w:val="hybridMultilevel"/>
    <w:tmpl w:val="6B24B25C"/>
    <w:lvl w:ilvl="0" w:tplc="98EE61C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DA515A"/>
    <w:multiLevelType w:val="hybridMultilevel"/>
    <w:tmpl w:val="C41E3778"/>
    <w:lvl w:ilvl="0" w:tplc="5AC002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32D0C"/>
    <w:multiLevelType w:val="hybridMultilevel"/>
    <w:tmpl w:val="B3E85E0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6D"/>
    <w:rsid w:val="0047025B"/>
    <w:rsid w:val="00605553"/>
    <w:rsid w:val="0062166D"/>
    <w:rsid w:val="0085001C"/>
    <w:rsid w:val="00B8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48779-A2E8-448A-9CC9-61C56C72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055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70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Assistante-Ircom</dc:creator>
  <cp:keywords/>
  <dc:description/>
  <cp:lastModifiedBy>Assistante-Ircom</cp:lastModifiedBy>
  <cp:revision>3</cp:revision>
  <cp:lastPrinted>2016-09-01T10:52:00Z</cp:lastPrinted>
  <dcterms:created xsi:type="dcterms:W3CDTF">2016-08-29T08:09:00Z</dcterms:created>
  <dcterms:modified xsi:type="dcterms:W3CDTF">2016-09-01T11:11:00Z</dcterms:modified>
</cp:coreProperties>
</file>